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F72E4" w14:textId="77777777" w:rsidR="003D5B82" w:rsidRPr="00BB72C0" w:rsidRDefault="003D5B82" w:rsidP="00BD32F6">
      <w:pPr>
        <w:spacing w:line="240" w:lineRule="auto"/>
        <w:rPr>
          <w:rFonts w:asciiTheme="majorHAnsi" w:eastAsia="Calibri" w:hAnsiTheme="majorHAnsi" w:cstheme="majorHAnsi"/>
          <w:b/>
          <w:bCs/>
          <w:color w:val="002060"/>
          <w:sz w:val="20"/>
          <w:szCs w:val="20"/>
        </w:rPr>
      </w:pPr>
      <w:r w:rsidRPr="00BB72C0">
        <w:rPr>
          <w:rFonts w:asciiTheme="majorHAnsi" w:eastAsia="Calibri" w:hAnsiTheme="majorHAnsi" w:cstheme="majorHAnsi"/>
          <w:b/>
          <w:bCs/>
          <w:color w:val="002060"/>
          <w:sz w:val="20"/>
          <w:szCs w:val="20"/>
        </w:rPr>
        <w:t>LETTER OF REVIEWERS</w:t>
      </w:r>
    </w:p>
    <w:p w14:paraId="3324C422" w14:textId="10C6EF1A"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w:t>
      </w:r>
    </w:p>
    <w:p w14:paraId="2485091F"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Reviewer A:</w:t>
      </w:r>
    </w:p>
    <w:p w14:paraId="206838C5" w14:textId="08EA8BEF"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Recommendation: Revisions Required</w:t>
      </w:r>
    </w:p>
    <w:p w14:paraId="5956B3E2"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w:t>
      </w:r>
    </w:p>
    <w:p w14:paraId="1FFCE4AC"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63CAAB76" w14:textId="604D09AB"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Relevance</w:t>
      </w:r>
      <w:r w:rsidR="003D5B82" w:rsidRPr="00BB72C0">
        <w:rPr>
          <w:rFonts w:asciiTheme="majorHAnsi" w:eastAsia="Calibri" w:hAnsiTheme="majorHAnsi" w:cstheme="majorHAnsi"/>
          <w:b/>
          <w:bCs/>
          <w:color w:val="1F1F1F"/>
          <w:sz w:val="20"/>
          <w:szCs w:val="20"/>
          <w:lang w:val="en-US"/>
        </w:rPr>
        <w:t xml:space="preserve">: </w:t>
      </w:r>
      <w:r w:rsidRPr="00BB72C0">
        <w:rPr>
          <w:rFonts w:asciiTheme="majorHAnsi" w:eastAsia="Calibri" w:hAnsiTheme="majorHAnsi" w:cstheme="majorHAnsi"/>
          <w:color w:val="1F1F1F"/>
          <w:sz w:val="20"/>
          <w:szCs w:val="20"/>
          <w:lang w:val="en-US"/>
        </w:rPr>
        <w:t>Moderated</w:t>
      </w:r>
    </w:p>
    <w:p w14:paraId="1207404B" w14:textId="5589C052"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6104A8F0" w14:textId="585FA13B"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Novelty</w:t>
      </w:r>
      <w:r w:rsidR="003D5B82" w:rsidRPr="00BB72C0">
        <w:rPr>
          <w:rFonts w:asciiTheme="majorHAnsi" w:eastAsia="Calibri" w:hAnsiTheme="majorHAnsi" w:cstheme="majorHAnsi"/>
          <w:b/>
          <w:bCs/>
          <w:color w:val="1F1F1F"/>
          <w:sz w:val="20"/>
          <w:szCs w:val="20"/>
          <w:lang w:val="en-US"/>
        </w:rPr>
        <w:t xml:space="preserve">: </w:t>
      </w:r>
      <w:r w:rsidRPr="00BB72C0">
        <w:rPr>
          <w:rFonts w:asciiTheme="majorHAnsi" w:eastAsia="Calibri" w:hAnsiTheme="majorHAnsi" w:cstheme="majorHAnsi"/>
          <w:color w:val="1F1F1F"/>
          <w:sz w:val="20"/>
          <w:szCs w:val="20"/>
          <w:lang w:val="en-US"/>
        </w:rPr>
        <w:t>Moderated</w:t>
      </w:r>
    </w:p>
    <w:p w14:paraId="0A08FD95" w14:textId="77777777" w:rsidR="003D5B82" w:rsidRPr="00BB72C0" w:rsidRDefault="003D5B82" w:rsidP="00BD32F6">
      <w:pPr>
        <w:spacing w:line="240" w:lineRule="auto"/>
        <w:rPr>
          <w:rFonts w:asciiTheme="majorHAnsi" w:eastAsia="Calibri" w:hAnsiTheme="majorHAnsi" w:cstheme="majorHAnsi"/>
          <w:color w:val="1F1F1F"/>
          <w:sz w:val="20"/>
          <w:szCs w:val="20"/>
          <w:lang w:val="en-US"/>
        </w:rPr>
      </w:pPr>
    </w:p>
    <w:p w14:paraId="0578C60C" w14:textId="7BD77736"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Presentation and writing</w:t>
      </w:r>
      <w:r w:rsidR="003D5B82" w:rsidRPr="00BB72C0">
        <w:rPr>
          <w:rFonts w:asciiTheme="majorHAnsi" w:eastAsia="Calibri" w:hAnsiTheme="majorHAnsi" w:cstheme="majorHAnsi"/>
          <w:b/>
          <w:bCs/>
          <w:color w:val="1F1F1F"/>
          <w:sz w:val="20"/>
          <w:szCs w:val="20"/>
          <w:lang w:val="en-US"/>
        </w:rPr>
        <w:t xml:space="preserve">: </w:t>
      </w:r>
      <w:r w:rsidRPr="00BB72C0">
        <w:rPr>
          <w:rFonts w:asciiTheme="majorHAnsi" w:eastAsia="Calibri" w:hAnsiTheme="majorHAnsi" w:cstheme="majorHAnsi"/>
          <w:color w:val="1F1F1F"/>
          <w:sz w:val="20"/>
          <w:szCs w:val="20"/>
          <w:lang w:val="en-US"/>
        </w:rPr>
        <w:t>Moderated</w:t>
      </w:r>
    </w:p>
    <w:p w14:paraId="055274BC"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 xml:space="preserve"> </w:t>
      </w:r>
    </w:p>
    <w:p w14:paraId="15676370" w14:textId="03BB5D31" w:rsidR="00BD32F6" w:rsidRPr="00BB72C0" w:rsidRDefault="00BD32F6" w:rsidP="00BD32F6">
      <w:pPr>
        <w:spacing w:line="240" w:lineRule="auto"/>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 xml:space="preserve">Comments for authors: </w:t>
      </w:r>
    </w:p>
    <w:p w14:paraId="3A5E7A5B"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TITLE AND ABSTRACT</w:t>
      </w:r>
    </w:p>
    <w:p w14:paraId="5588D783"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7DC0B05A"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1. The Abstract should be written in a structured format (background, objective, method, results, and conclusion) and should not exceed 300 words. I suggest rewriting it using these subheadings.</w:t>
      </w:r>
    </w:p>
    <w:p w14:paraId="643A5EE2"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2E56FD69"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2. There is a conceptual inconsistency between “flexibility” and “inflexibility.” In the Abstract, the text refers to “valid measures of psychological inflexibility” and later states that “psychological inflexibility showed…”. However, in the Method/Measures section and in Figure 1, the WAAQ is defined as an instrument of “psychological flexibility at work,” and in the Discussion it is again interpreted as “psychological flexibility.” This issue requires correction and terminological consistency throughout the manuscript.</w:t>
      </w:r>
    </w:p>
    <w:p w14:paraId="5A4481E8"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1138762E"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3. In the manuscript, tables, and labels, some elements appear in Spanish. This must be corrected throughout the manuscript. Only manuscripts written entirely in English are accepted.</w:t>
      </w:r>
    </w:p>
    <w:p w14:paraId="3E1A6E78"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170CCE6F"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INTRODUCTION</w:t>
      </w:r>
    </w:p>
    <w:p w14:paraId="61582DD2"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0EE2C5A8"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4. Given that the text alternates between psychological inflexibility and psychological flexibility, I recommend defining from the outset which construct is the focus of the study and how the WAAQ score is interpreted in this manuscript, including the expected direction of associations with depression and anxiety. This will avoid interpretative ambiguities.</w:t>
      </w:r>
    </w:p>
    <w:p w14:paraId="2CC574E1"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2E21B415"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METHOD</w:t>
      </w:r>
    </w:p>
    <w:p w14:paraId="5E064306"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31461C44"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5. The subsection “Ethical Aspects” is missing. Although ethical approval and informed consent are mentioned in the Procedure section, a dedicated subsection should be added indicating approval by an ethics committee (ideally including the approval code), as well as the ethical safeguards for participants.</w:t>
      </w:r>
    </w:p>
    <w:p w14:paraId="69B7236F"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31D74526"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6. Recruitment via Google Forms and dissemination through institutional social media are reported. I recommend detailing the inclusion and exclusion criteria (beyond being “healthcare professionals”), the response rate (if known), procedures to control for duplicate responses, and a discussion of potential biases (self-selection, digital access, overrepresentation of certain profiles).</w:t>
      </w:r>
    </w:p>
    <w:p w14:paraId="2A8484E5"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38EB009C"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7. A minimum sample size calculation should be conducted for the study. I do not recommend using an ad hoc criterion such as 10 participants per item. Instead, I suggest using this sample size calculator and basing the calculation on the expected CFI: wnarifin.github.io/ssc_web.html.</w:t>
      </w:r>
    </w:p>
    <w:p w14:paraId="2A833C16"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07A4E28D"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8. The manuscript reports the use of “the Spanish version validated by Ruiz and Odriozola-González (2014).” Given that the sample is Peruvian, I suggest justifying the linguistic and cultural appropriateness (Spanish variants; semantic equivalence). If no adaptation was performed, this should be acknowledged as a limitation or supported with evidence (e.g., cognitive review or pilot testing).</w:t>
      </w:r>
    </w:p>
    <w:p w14:paraId="5B93E46F"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53AF4C6A"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RESULTS</w:t>
      </w:r>
    </w:p>
    <w:p w14:paraId="07137366"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103ED152"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lastRenderedPageBreak/>
        <w:t>9. The manuscript selects the “one-factor model with a correlated error between items 1 and 3 (Model 2)” as the final solution, even though “Model 4” shows better fit but is discarded due to a lack of theoretical justification. I recommend providing a theoretical (and linguistic) justification for why the errors of items 1 and 3 should be correlated (e.g., content overlap, similar wording, method effects</w:t>
      </w:r>
      <w:proofErr w:type="gramStart"/>
      <w:r w:rsidRPr="00BB72C0">
        <w:rPr>
          <w:rFonts w:asciiTheme="majorHAnsi" w:eastAsia="Calibri" w:hAnsiTheme="majorHAnsi" w:cstheme="majorHAnsi"/>
          <w:color w:val="1F1F1F"/>
          <w:sz w:val="20"/>
          <w:szCs w:val="20"/>
          <w:lang w:val="en-US"/>
        </w:rPr>
        <w:t>), and</w:t>
      </w:r>
      <w:proofErr w:type="gramEnd"/>
      <w:r w:rsidRPr="00BB72C0">
        <w:rPr>
          <w:rFonts w:asciiTheme="majorHAnsi" w:eastAsia="Calibri" w:hAnsiTheme="majorHAnsi" w:cstheme="majorHAnsi"/>
          <w:color w:val="1F1F1F"/>
          <w:sz w:val="20"/>
          <w:szCs w:val="20"/>
          <w:lang w:val="en-US"/>
        </w:rPr>
        <w:t xml:space="preserve"> acknowledging the risk of overfitting due to modification based on indices in a single sample. Ideally, a replication or cross-validation in an independent sample should be proposed.</w:t>
      </w:r>
    </w:p>
    <w:p w14:paraId="54F0F248"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3A8B968A"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 xml:space="preserve">10. The use of MLR is reported. For 7-point Likert items, treating them as continuous can be defensible, but this should be explicitly justified, or a sensitivity analysis using an estimator for ordinal data should be reported. If MLR is used, would it not be more appropriate to compare models based on AIC and BIC? Would it </w:t>
      </w:r>
      <w:proofErr w:type="gramStart"/>
      <w:r w:rsidRPr="00BB72C0">
        <w:rPr>
          <w:rFonts w:asciiTheme="majorHAnsi" w:eastAsia="Calibri" w:hAnsiTheme="majorHAnsi" w:cstheme="majorHAnsi"/>
          <w:color w:val="1F1F1F"/>
          <w:sz w:val="20"/>
          <w:szCs w:val="20"/>
          <w:lang w:val="en-US"/>
        </w:rPr>
        <w:t>not also</w:t>
      </w:r>
      <w:proofErr w:type="gramEnd"/>
      <w:r w:rsidRPr="00BB72C0">
        <w:rPr>
          <w:rFonts w:asciiTheme="majorHAnsi" w:eastAsia="Calibri" w:hAnsiTheme="majorHAnsi" w:cstheme="majorHAnsi"/>
          <w:color w:val="1F1F1F"/>
          <w:sz w:val="20"/>
          <w:szCs w:val="20"/>
          <w:lang w:val="en-US"/>
        </w:rPr>
        <w:t xml:space="preserve"> be advisable to test WLSMV with </w:t>
      </w:r>
      <w:proofErr w:type="spellStart"/>
      <w:r w:rsidRPr="00BB72C0">
        <w:rPr>
          <w:rFonts w:asciiTheme="majorHAnsi" w:eastAsia="Calibri" w:hAnsiTheme="majorHAnsi" w:cstheme="majorHAnsi"/>
          <w:color w:val="1F1F1F"/>
          <w:sz w:val="20"/>
          <w:szCs w:val="20"/>
          <w:lang w:val="en-US"/>
        </w:rPr>
        <w:t>polychoric</w:t>
      </w:r>
      <w:proofErr w:type="spellEnd"/>
      <w:r w:rsidRPr="00BB72C0">
        <w:rPr>
          <w:rFonts w:asciiTheme="majorHAnsi" w:eastAsia="Calibri" w:hAnsiTheme="majorHAnsi" w:cstheme="majorHAnsi"/>
          <w:color w:val="1F1F1F"/>
          <w:sz w:val="20"/>
          <w:szCs w:val="20"/>
          <w:lang w:val="en-US"/>
        </w:rPr>
        <w:t xml:space="preserve"> matrices for the original model and examine whether it shows adequate fit?</w:t>
      </w:r>
    </w:p>
    <w:p w14:paraId="181AF291"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5CD8749F"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11. It is not clear why an analysis based on observed scores (Spearman correlations) is used instead of an analysis based on latent scores (SEM), given that the manuscript focuses on latent variable models throughout.</w:t>
      </w:r>
    </w:p>
    <w:p w14:paraId="76FEF0B1"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2D64BCF3"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12. I suggest adding a multigroup invariance analysis. This could help to determine whether the model with correlated errors is stable across different groups.</w:t>
      </w:r>
    </w:p>
    <w:p w14:paraId="0CB1797E"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0F8E87A1"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DISCUSSION</w:t>
      </w:r>
    </w:p>
    <w:p w14:paraId="69F5EF72"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1AEFDEF4"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13. The Discussion states that “psychological flexibility was moderately correlated with depression and anxiety,” whereas the Abstract refers to “psychological inflexibility… correlation…”. Harmonization is required, ensuring that the direction and interpretation correspond to the WAAQ scoring as calculated and reported.</w:t>
      </w:r>
    </w:p>
    <w:p w14:paraId="7F48F7C0" w14:textId="77777777" w:rsidR="00BD32F6" w:rsidRPr="00BB72C0" w:rsidRDefault="00BD32F6" w:rsidP="00BD32F6">
      <w:pPr>
        <w:spacing w:line="240" w:lineRule="auto"/>
        <w:rPr>
          <w:rFonts w:asciiTheme="majorHAnsi" w:eastAsia="Calibri" w:hAnsiTheme="majorHAnsi" w:cstheme="majorHAnsi"/>
          <w:color w:val="1F1F1F"/>
          <w:sz w:val="20"/>
          <w:szCs w:val="20"/>
          <w:lang w:val="en-US"/>
        </w:rPr>
      </w:pPr>
    </w:p>
    <w:p w14:paraId="1C1851A0" w14:textId="3F9AA6A7" w:rsidR="00BD32F6" w:rsidRPr="00BB72C0" w:rsidRDefault="00BD32F6" w:rsidP="00BD32F6">
      <w:pPr>
        <w:spacing w:line="240" w:lineRule="auto"/>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 xml:space="preserve">14. In addition to sample-related limitations, it would be important to discuss the absence of factorial invariance (by sex or profession), the impact of CFA </w:t>
      </w:r>
      <w:proofErr w:type="spellStart"/>
      <w:r w:rsidRPr="00BB72C0">
        <w:rPr>
          <w:rFonts w:asciiTheme="majorHAnsi" w:eastAsia="Calibri" w:hAnsiTheme="majorHAnsi" w:cstheme="majorHAnsi"/>
          <w:color w:val="1F1F1F"/>
          <w:sz w:val="20"/>
          <w:szCs w:val="20"/>
          <w:lang w:val="en-US"/>
        </w:rPr>
        <w:t>respecification</w:t>
      </w:r>
      <w:proofErr w:type="spellEnd"/>
      <w:r w:rsidRPr="00BB72C0">
        <w:rPr>
          <w:rFonts w:asciiTheme="majorHAnsi" w:eastAsia="Calibri" w:hAnsiTheme="majorHAnsi" w:cstheme="majorHAnsi"/>
          <w:color w:val="1F1F1F"/>
          <w:sz w:val="20"/>
          <w:szCs w:val="20"/>
          <w:lang w:val="en-US"/>
        </w:rPr>
        <w:t xml:space="preserve"> (correlated errors) on generalizability, and potential selection biases.</w:t>
      </w:r>
      <w:r w:rsidRPr="00BB72C0">
        <w:rPr>
          <w:rFonts w:asciiTheme="majorHAnsi" w:eastAsia="Calibri" w:hAnsiTheme="majorHAnsi" w:cstheme="majorHAnsi"/>
          <w:color w:val="1F1F1F"/>
          <w:sz w:val="20"/>
          <w:szCs w:val="20"/>
          <w:lang w:val="en-US"/>
        </w:rPr>
        <w:br w:type="page"/>
      </w:r>
    </w:p>
    <w:p w14:paraId="5C19E660" w14:textId="77777777" w:rsidR="00BB72C0" w:rsidRPr="00BB72C0" w:rsidRDefault="00BB72C0" w:rsidP="00BD32F6">
      <w:pPr>
        <w:widowControl w:val="0"/>
        <w:spacing w:line="240" w:lineRule="auto"/>
        <w:jc w:val="both"/>
        <w:rPr>
          <w:rFonts w:asciiTheme="majorHAnsi" w:eastAsia="Calibri" w:hAnsiTheme="majorHAnsi" w:cstheme="majorHAnsi"/>
          <w:b/>
          <w:bCs/>
          <w:color w:val="002060"/>
          <w:sz w:val="20"/>
          <w:szCs w:val="20"/>
        </w:rPr>
      </w:pPr>
      <w:r w:rsidRPr="00BB72C0">
        <w:rPr>
          <w:rFonts w:asciiTheme="majorHAnsi" w:eastAsia="Calibri" w:hAnsiTheme="majorHAnsi" w:cstheme="majorHAnsi"/>
          <w:b/>
          <w:bCs/>
          <w:color w:val="002060"/>
          <w:sz w:val="20"/>
          <w:szCs w:val="20"/>
        </w:rPr>
        <w:lastRenderedPageBreak/>
        <w:t>RESPONSE LETTER</w:t>
      </w:r>
    </w:p>
    <w:p w14:paraId="1F2E68B6" w14:textId="58555139"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Dear Editor,</w:t>
      </w:r>
    </w:p>
    <w:p w14:paraId="1F2E68B7"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 xml:space="preserve">We appreciate the opportunity to submit a revised version of our manuscript titled "Factorial Structure of the Work-Related Acceptance and Action Questionnaire in Healthcare Personnel" for consideration in </w:t>
      </w:r>
      <w:r w:rsidRPr="00BB72C0">
        <w:rPr>
          <w:rFonts w:asciiTheme="majorHAnsi" w:eastAsia="Calibri" w:hAnsiTheme="majorHAnsi" w:cstheme="majorHAnsi"/>
          <w:i/>
          <w:iCs/>
          <w:color w:val="1F1F1F"/>
          <w:sz w:val="20"/>
          <w:szCs w:val="20"/>
          <w:lang w:val="en-US"/>
        </w:rPr>
        <w:t>Interacciones</w:t>
      </w:r>
      <w:r w:rsidRPr="00BB72C0">
        <w:rPr>
          <w:rFonts w:asciiTheme="majorHAnsi" w:eastAsia="Calibri" w:hAnsiTheme="majorHAnsi" w:cstheme="majorHAnsi"/>
          <w:color w:val="1F1F1F"/>
          <w:sz w:val="20"/>
          <w:szCs w:val="20"/>
          <w:lang w:val="en-US"/>
        </w:rPr>
        <w:t>. We would like to thank you and the reviewer for the thoughtful and constructive feedback, which has significantly strengthened the quality and clarity of our work. We have carefully addressed each comment and have highlighted all changes in the revised manuscript using red font.</w:t>
      </w:r>
    </w:p>
    <w:p w14:paraId="1F2E68B8"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Below, we provide a point-by-point response to the reviewer’s suggestions.</w:t>
      </w:r>
    </w:p>
    <w:p w14:paraId="09B96D67"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B9"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Reviewer A</w:t>
      </w:r>
    </w:p>
    <w:p w14:paraId="1F2E68BA"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TITLE AND ABSTRACT</w:t>
      </w:r>
    </w:p>
    <w:p w14:paraId="1F2E68BB"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1. The Abstract should be written in a structured format (background, objective, method, results, and conclusion) and should not exceed 300 words. I suggest rewriting it using these subheadings.</w:t>
      </w:r>
    </w:p>
    <w:p w14:paraId="1F2E68BC"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restructured the Abstract using the suggested subheadings (Background, Objective, Method, Results, and Conclusion) and ensured it remains within the 300-word limit.</w:t>
      </w:r>
    </w:p>
    <w:p w14:paraId="7EE19692"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BD"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2. There is a conceptual inconsistency between “flexibility” and “inflexibility.” In the Abstract, the text refers to “valid measures of psychological inflexibility” and later states that “psychological inflexibility showed…”. However, in the Method/Measures section and in Figure 1, the WAAQ is defined as an instrument of “psychological flexibility at work,” and in the Discussion it is again interpreted as “psychological flexibility.” This issue requires correction and terminological consistency throughout the manuscript.</w:t>
      </w:r>
    </w:p>
    <w:p w14:paraId="1F2E68BE"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apologize for the confusion. We have reviewed the entire manuscript and standardized the terminology. We now consistently refer to the </w:t>
      </w:r>
      <w:proofErr w:type="gramStart"/>
      <w:r w:rsidRPr="00BB72C0">
        <w:rPr>
          <w:rFonts w:asciiTheme="majorHAnsi" w:eastAsia="Calibri" w:hAnsiTheme="majorHAnsi" w:cstheme="majorHAnsi"/>
          <w:color w:val="1F1F1F"/>
          <w:sz w:val="20"/>
          <w:szCs w:val="20"/>
          <w:lang w:val="en-US"/>
        </w:rPr>
        <w:t>construct</w:t>
      </w:r>
      <w:proofErr w:type="gramEnd"/>
      <w:r w:rsidRPr="00BB72C0">
        <w:rPr>
          <w:rFonts w:asciiTheme="majorHAnsi" w:eastAsia="Calibri" w:hAnsiTheme="majorHAnsi" w:cstheme="majorHAnsi"/>
          <w:color w:val="1F1F1F"/>
          <w:sz w:val="20"/>
          <w:szCs w:val="20"/>
          <w:lang w:val="en-US"/>
        </w:rPr>
        <w:t xml:space="preserve"> as psychological flexibility to align with the WAAQ measure.</w:t>
      </w:r>
    </w:p>
    <w:p w14:paraId="3ADEE9DB"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BF"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3. In the manuscript, tables, and labels, some elements appear in Spanish. This must be corrected throughout the manuscript. Only manuscripts written entirely in English are accepted.</w:t>
      </w:r>
    </w:p>
    <w:p w14:paraId="1F2E68C0"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carefully proofread the manuscript and translated all remaining Spanish elements in the text, tables, and figures into English.</w:t>
      </w:r>
    </w:p>
    <w:p w14:paraId="65A33944"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C1"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INTRODUCTION</w:t>
      </w:r>
    </w:p>
    <w:p w14:paraId="1F2E68C2"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4. Given that the text alternates between psychological inflexibility and psychological flexibility, I recommend defining from the outset which construct is the focus of the study and how the WAAQ score is interpreted in this manuscript, including the expected direction of associations with depression and anxiety. This will avoid interpretative ambiguities.</w:t>
      </w:r>
    </w:p>
    <w:p w14:paraId="1F2E68C3"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clarified in the Introduction that the study focuses on psychological flexibility. We have also explicitly stated that higher WAAQ scores indicate greater flexibility and are expected to be negatively associated with depression and anxiety.</w:t>
      </w:r>
    </w:p>
    <w:p w14:paraId="3604C8F7"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C4"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METHOD</w:t>
      </w:r>
    </w:p>
    <w:p w14:paraId="1F2E68C5"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5. The subsection “Ethical Aspects” is missing. Although ethical approval and informed consent are mentioned in the Procedure section, a dedicated subsection should be added indicating approval by an ethics committee (ideally including the approval code), as well as the ethical safeguards for participants.</w:t>
      </w:r>
    </w:p>
    <w:p w14:paraId="1F2E68C6"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added a dedicated Ethical Considerations subsection. It reads:</w:t>
      </w:r>
    </w:p>
    <w:p w14:paraId="1F2E68C7" w14:textId="77777777" w:rsidR="00733D60" w:rsidRPr="00BB72C0" w:rsidRDefault="00000000" w:rsidP="00BD32F6">
      <w:pPr>
        <w:widowControl w:val="0"/>
        <w:spacing w:line="240" w:lineRule="auto"/>
        <w:jc w:val="both"/>
        <w:rPr>
          <w:rFonts w:asciiTheme="majorHAnsi" w:eastAsia="Calibri" w:hAnsiTheme="majorHAnsi" w:cstheme="majorHAnsi"/>
          <w:i/>
          <w:iCs/>
          <w:color w:val="1F1F1F"/>
          <w:sz w:val="20"/>
          <w:szCs w:val="20"/>
          <w:lang w:val="en-US"/>
        </w:rPr>
      </w:pPr>
      <w:r w:rsidRPr="00BB72C0">
        <w:rPr>
          <w:rFonts w:asciiTheme="majorHAnsi" w:eastAsia="Calibri" w:hAnsiTheme="majorHAnsi" w:cstheme="majorHAnsi"/>
          <w:i/>
          <w:iCs/>
          <w:color w:val="1F1F1F"/>
          <w:sz w:val="20"/>
          <w:szCs w:val="20"/>
          <w:lang w:val="en-US"/>
        </w:rPr>
        <w:t>"The protocol was approved by the Ethics Committee and Research Directorate of the School of Psychology at the Autonomous University of Peru. All participants were informed about the study and provided written informed consent prior to taking part. The key principles of the American Psychological Association’s Ethical Principles of Psychologists and Code of Conduct (2017) were followed. Participation was clearly stated to be fully voluntary, and all information collected was handled with the highest level of confidentiality."</w:t>
      </w:r>
    </w:p>
    <w:p w14:paraId="0DD893CF" w14:textId="77777777" w:rsidR="00BB72C0" w:rsidRPr="00BB72C0" w:rsidRDefault="00BB72C0" w:rsidP="00BD32F6">
      <w:pPr>
        <w:widowControl w:val="0"/>
        <w:spacing w:line="240" w:lineRule="auto"/>
        <w:jc w:val="both"/>
        <w:rPr>
          <w:rFonts w:asciiTheme="majorHAnsi" w:eastAsia="Calibri" w:hAnsiTheme="majorHAnsi" w:cstheme="majorHAnsi"/>
          <w:i/>
          <w:iCs/>
          <w:color w:val="1F1F1F"/>
          <w:sz w:val="20"/>
          <w:szCs w:val="20"/>
          <w:lang w:val="en-US"/>
        </w:rPr>
      </w:pPr>
    </w:p>
    <w:p w14:paraId="1F2E68C8"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6. Recruitment via Google Forms and dissemination through institutional social media are reported. I recommend detailing the inclusion and exclusion criteria (beyond being “healthcare professionals”), the response rate (if known), procedures to control for duplicate responses, and a discussion of potential biases (self-selection, digital access, overrepresentation of certain profiles).</w:t>
      </w:r>
    </w:p>
    <w:p w14:paraId="1F2E68C9"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expanded the description of the participants and recruitment procedure. The text now reads:</w:t>
      </w:r>
    </w:p>
    <w:p w14:paraId="1F2E68CA" w14:textId="77777777" w:rsidR="00733D60" w:rsidRPr="00BB72C0" w:rsidRDefault="00000000" w:rsidP="00BD32F6">
      <w:pPr>
        <w:widowControl w:val="0"/>
        <w:spacing w:line="240" w:lineRule="auto"/>
        <w:jc w:val="both"/>
        <w:rPr>
          <w:rFonts w:asciiTheme="majorHAnsi" w:eastAsia="Calibri" w:hAnsiTheme="majorHAnsi" w:cstheme="majorHAnsi"/>
          <w:i/>
          <w:iCs/>
          <w:color w:val="1F1F1F"/>
          <w:sz w:val="20"/>
          <w:szCs w:val="20"/>
          <w:lang w:val="en-US"/>
        </w:rPr>
      </w:pPr>
      <w:r w:rsidRPr="00BB72C0">
        <w:rPr>
          <w:rFonts w:asciiTheme="majorHAnsi" w:eastAsia="Calibri" w:hAnsiTheme="majorHAnsi" w:cstheme="majorHAnsi"/>
          <w:i/>
          <w:iCs/>
          <w:color w:val="1F1F1F"/>
          <w:sz w:val="20"/>
          <w:szCs w:val="20"/>
          <w:lang w:val="en-US"/>
        </w:rPr>
        <w:t xml:space="preserve">"The sample was selected through non-probabilistic convenience sampling. Inclusion criteria required </w:t>
      </w:r>
      <w:r w:rsidRPr="00BB72C0">
        <w:rPr>
          <w:rFonts w:asciiTheme="majorHAnsi" w:eastAsia="Calibri" w:hAnsiTheme="majorHAnsi" w:cstheme="majorHAnsi"/>
          <w:i/>
          <w:iCs/>
          <w:color w:val="1F1F1F"/>
          <w:sz w:val="20"/>
          <w:szCs w:val="20"/>
          <w:lang w:val="en-US"/>
        </w:rPr>
        <w:lastRenderedPageBreak/>
        <w:t>participants to be formal Peruvian healthcare workers who understood and accepted the informed consent. No formal exclusion criteria were established for the study."</w:t>
      </w:r>
    </w:p>
    <w:p w14:paraId="1F2E68CB"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We have also added a brief discussion regarding potential self-selection bias and digital access in the Limitations section.</w:t>
      </w:r>
    </w:p>
    <w:p w14:paraId="66A35043"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CC"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7. A minimum sample size calculation should be conducted for the study. I do not recommend using an ad hoc criterion such as 10 participants per item. Instead, I suggest using this sample size calculator and basing the calculation on the expected CFI: wnarifin.github.io/ssc_web.html.</w:t>
      </w:r>
    </w:p>
    <w:p w14:paraId="1F2E68CD"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 xml:space="preserve">Response: </w:t>
      </w:r>
      <w:r w:rsidRPr="00BB72C0">
        <w:rPr>
          <w:rFonts w:asciiTheme="majorHAnsi" w:eastAsia="Calibri" w:hAnsiTheme="majorHAnsi" w:cstheme="majorHAnsi"/>
          <w:color w:val="1F1F1F"/>
          <w:sz w:val="20"/>
          <w:szCs w:val="20"/>
          <w:lang w:val="en-US"/>
        </w:rPr>
        <w:t xml:space="preserve">We appreciate the reviewer’s suggestion regarding sample size justification. Instead of using a CFI-based calculator, we opted to perform </w:t>
      </w:r>
      <w:proofErr w:type="gramStart"/>
      <w:r w:rsidRPr="00BB72C0">
        <w:rPr>
          <w:rFonts w:asciiTheme="majorHAnsi" w:eastAsia="Calibri" w:hAnsiTheme="majorHAnsi" w:cstheme="majorHAnsi"/>
          <w:color w:val="1F1F1F"/>
          <w:sz w:val="20"/>
          <w:szCs w:val="20"/>
          <w:lang w:val="en-US"/>
        </w:rPr>
        <w:t xml:space="preserve">an </w:t>
      </w:r>
      <w:r w:rsidRPr="00BB72C0">
        <w:rPr>
          <w:rFonts w:asciiTheme="majorHAnsi" w:eastAsia="Calibri" w:hAnsiTheme="majorHAnsi" w:cstheme="majorHAnsi"/>
          <w:i/>
          <w:iCs/>
          <w:color w:val="1F1F1F"/>
          <w:sz w:val="20"/>
          <w:szCs w:val="20"/>
          <w:lang w:val="en-US"/>
        </w:rPr>
        <w:t>a</w:t>
      </w:r>
      <w:proofErr w:type="gramEnd"/>
      <w:r w:rsidRPr="00BB72C0">
        <w:rPr>
          <w:rFonts w:asciiTheme="majorHAnsi" w:eastAsia="Calibri" w:hAnsiTheme="majorHAnsi" w:cstheme="majorHAnsi"/>
          <w:i/>
          <w:iCs/>
          <w:color w:val="1F1F1F"/>
          <w:sz w:val="20"/>
          <w:szCs w:val="20"/>
          <w:lang w:val="en-US"/>
        </w:rPr>
        <w:t xml:space="preserve"> priori</w:t>
      </w:r>
      <w:r w:rsidRPr="00BB72C0">
        <w:rPr>
          <w:rFonts w:asciiTheme="majorHAnsi" w:eastAsia="Calibri" w:hAnsiTheme="majorHAnsi" w:cstheme="majorHAnsi"/>
          <w:color w:val="1F1F1F"/>
          <w:sz w:val="20"/>
          <w:szCs w:val="20"/>
          <w:lang w:val="en-US"/>
        </w:rPr>
        <w:t xml:space="preserve"> Monte Carlo simulation during the study design phase to determine the minimum necessary sample size. For this simulation, we utilized the factor loadings reported in the Spanish validation by Ruiz et al. (2014). The results indicated that a sample size of n = 150 was sufficient to recover parameters with a statistical power of 1.00, coverage of 95%, and negligible parameter and standard error bias (&lt; 2%). Given that our final sample consisted of 182 participants, we consider the sample size adequate for the proposed analyses. We have added this justification to the Participants section and apologize for its omission in the previous version of the manuscript.</w:t>
      </w:r>
    </w:p>
    <w:p w14:paraId="31DF4ADD" w14:textId="77777777" w:rsidR="00BB72C0" w:rsidRPr="00BB72C0" w:rsidRDefault="00BB72C0" w:rsidP="00BD32F6">
      <w:pPr>
        <w:widowControl w:val="0"/>
        <w:spacing w:line="240" w:lineRule="auto"/>
        <w:jc w:val="both"/>
        <w:rPr>
          <w:rFonts w:asciiTheme="majorHAnsi" w:eastAsia="Calibri" w:hAnsiTheme="majorHAnsi" w:cstheme="majorHAnsi"/>
          <w:i/>
          <w:iCs/>
          <w:color w:val="1F1F1F"/>
          <w:sz w:val="20"/>
          <w:szCs w:val="20"/>
          <w:lang w:val="en-US"/>
        </w:rPr>
      </w:pPr>
    </w:p>
    <w:p w14:paraId="1F2E68CE"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8. The manuscript reports the use of “the Spanish version validated by Ruiz and Odriozola-González (2014).” Given that the sample is Peruvian, I suggest justifying the linguistic and cultural appropriateness (Spanish variants; semantic equivalence). If no adaptation was performed, this should be acknowledged as a limitation or supported with evidence (e.g., cognitive review or pilot testing).</w:t>
      </w:r>
    </w:p>
    <w:p w14:paraId="1F2E68CF"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clarified the linguistic appropriateness in the </w:t>
      </w:r>
      <w:r w:rsidRPr="00BB72C0">
        <w:rPr>
          <w:rFonts w:asciiTheme="majorHAnsi" w:eastAsia="Calibri" w:hAnsiTheme="majorHAnsi" w:cstheme="majorHAnsi"/>
          <w:i/>
          <w:iCs/>
          <w:color w:val="1F1F1F"/>
          <w:sz w:val="20"/>
          <w:szCs w:val="20"/>
          <w:lang w:val="en-US"/>
        </w:rPr>
        <w:t>Measures</w:t>
      </w:r>
      <w:r w:rsidRPr="00BB72C0">
        <w:rPr>
          <w:rFonts w:asciiTheme="majorHAnsi" w:eastAsia="Calibri" w:hAnsiTheme="majorHAnsi" w:cstheme="majorHAnsi"/>
          <w:color w:val="1F1F1F"/>
          <w:sz w:val="20"/>
          <w:szCs w:val="20"/>
          <w:lang w:val="en-US"/>
        </w:rPr>
        <w:t xml:space="preserve"> section. We utilized the Spanish version validated by Ruiz and Odriozola-González (2014) after it was reviewed by the Peruvian authors, who found no regionalisms or complex wording issues for the local population. Additionally, this version has been successfully used in neighboring Colombia and Ecuador without language-related difficulties.</w:t>
      </w:r>
    </w:p>
    <w:p w14:paraId="061788D6"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D0"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RESULTS</w:t>
      </w:r>
    </w:p>
    <w:p w14:paraId="1F2E68D1"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9. The manuscript selects the “one-factor model with a correlated error between items 1 and 3 (Model 2)” as the final solution, even though “Model 4” shows better fit but is discarded due to a lack of theoretical justification. I recommend providing a theoretical (and linguistic) justification for why the errors of items 1 and 3 should be correlated (e.g., content overlap, similar wording, method effects</w:t>
      </w:r>
      <w:proofErr w:type="gramStart"/>
      <w:r w:rsidRPr="00BB72C0">
        <w:rPr>
          <w:rFonts w:asciiTheme="majorHAnsi" w:eastAsia="Calibri" w:hAnsiTheme="majorHAnsi" w:cstheme="majorHAnsi"/>
          <w:b/>
          <w:bCs/>
          <w:color w:val="1F1F1F"/>
          <w:sz w:val="20"/>
          <w:szCs w:val="20"/>
          <w:lang w:val="en-US"/>
        </w:rPr>
        <w:t>), and</w:t>
      </w:r>
      <w:proofErr w:type="gramEnd"/>
      <w:r w:rsidRPr="00BB72C0">
        <w:rPr>
          <w:rFonts w:asciiTheme="majorHAnsi" w:eastAsia="Calibri" w:hAnsiTheme="majorHAnsi" w:cstheme="majorHAnsi"/>
          <w:b/>
          <w:bCs/>
          <w:color w:val="1F1F1F"/>
          <w:sz w:val="20"/>
          <w:szCs w:val="20"/>
          <w:lang w:val="en-US"/>
        </w:rPr>
        <w:t xml:space="preserve"> acknowledging the risk of overfitting due to modification based on indices in a single sample. Ideally, a replication or cross-validation in an independent sample should be proposed.</w:t>
      </w:r>
    </w:p>
    <w:p w14:paraId="1F2E68D2"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added the following justification and limitation regarding the correlated errors:</w:t>
      </w:r>
    </w:p>
    <w:p w14:paraId="1F2E68D3" w14:textId="77777777" w:rsidR="00733D60" w:rsidRPr="00BB72C0" w:rsidRDefault="00000000" w:rsidP="00BD32F6">
      <w:pPr>
        <w:widowControl w:val="0"/>
        <w:spacing w:line="240" w:lineRule="auto"/>
        <w:jc w:val="both"/>
        <w:rPr>
          <w:rFonts w:asciiTheme="majorHAnsi" w:eastAsia="Calibri" w:hAnsiTheme="majorHAnsi" w:cstheme="majorHAnsi"/>
          <w:i/>
          <w:iCs/>
          <w:color w:val="1F1F1F"/>
          <w:sz w:val="20"/>
          <w:szCs w:val="20"/>
          <w:lang w:val="en-US"/>
        </w:rPr>
      </w:pPr>
      <w:r w:rsidRPr="00BB72C0">
        <w:rPr>
          <w:rFonts w:asciiTheme="majorHAnsi" w:eastAsia="Calibri" w:hAnsiTheme="majorHAnsi" w:cstheme="majorHAnsi"/>
          <w:i/>
          <w:iCs/>
          <w:color w:val="1F1F1F"/>
          <w:sz w:val="20"/>
          <w:szCs w:val="20"/>
          <w:lang w:val="en-US"/>
        </w:rPr>
        <w:t>"Although a correlated error between WAAQ Items 1 and 3 was theoretically justified due to semantic overlap regarding private events within the ACT framework, we acknowledge that this post-hoc modification risks overfitting (Domínguez-Lara, 2019). Future studies should cross-validate this structure in independent samples."</w:t>
      </w:r>
    </w:p>
    <w:p w14:paraId="3D45285D" w14:textId="77777777" w:rsidR="00BB72C0" w:rsidRPr="00BB72C0" w:rsidRDefault="00BB72C0" w:rsidP="00BD32F6">
      <w:pPr>
        <w:widowControl w:val="0"/>
        <w:spacing w:line="240" w:lineRule="auto"/>
        <w:jc w:val="both"/>
        <w:rPr>
          <w:rFonts w:asciiTheme="majorHAnsi" w:eastAsia="Calibri" w:hAnsiTheme="majorHAnsi" w:cstheme="majorHAnsi"/>
          <w:i/>
          <w:iCs/>
          <w:color w:val="1F1F1F"/>
          <w:sz w:val="20"/>
          <w:szCs w:val="20"/>
          <w:lang w:val="en-US"/>
        </w:rPr>
      </w:pPr>
    </w:p>
    <w:p w14:paraId="1F2E68D4"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 xml:space="preserve">10. The use of MLR is reported. For 7-point Likert items, treating them as continuous can be defensible, but this should be explicitly justified, or a sensitivity analysis using an estimator for ordinal data should be reported. If MLR is used, would it not be more appropriate to compare models based on AIC and BIC? Would it </w:t>
      </w:r>
      <w:proofErr w:type="gramStart"/>
      <w:r w:rsidRPr="00BB72C0">
        <w:rPr>
          <w:rFonts w:asciiTheme="majorHAnsi" w:eastAsia="Calibri" w:hAnsiTheme="majorHAnsi" w:cstheme="majorHAnsi"/>
          <w:b/>
          <w:bCs/>
          <w:color w:val="1F1F1F"/>
          <w:sz w:val="20"/>
          <w:szCs w:val="20"/>
          <w:lang w:val="en-US"/>
        </w:rPr>
        <w:t>not also</w:t>
      </w:r>
      <w:proofErr w:type="gramEnd"/>
      <w:r w:rsidRPr="00BB72C0">
        <w:rPr>
          <w:rFonts w:asciiTheme="majorHAnsi" w:eastAsia="Calibri" w:hAnsiTheme="majorHAnsi" w:cstheme="majorHAnsi"/>
          <w:b/>
          <w:bCs/>
          <w:color w:val="1F1F1F"/>
          <w:sz w:val="20"/>
          <w:szCs w:val="20"/>
          <w:lang w:val="en-US"/>
        </w:rPr>
        <w:t xml:space="preserve"> be advisable to test WLSMV with </w:t>
      </w:r>
      <w:proofErr w:type="spellStart"/>
      <w:r w:rsidRPr="00BB72C0">
        <w:rPr>
          <w:rFonts w:asciiTheme="majorHAnsi" w:eastAsia="Calibri" w:hAnsiTheme="majorHAnsi" w:cstheme="majorHAnsi"/>
          <w:b/>
          <w:bCs/>
          <w:color w:val="1F1F1F"/>
          <w:sz w:val="20"/>
          <w:szCs w:val="20"/>
          <w:lang w:val="en-US"/>
        </w:rPr>
        <w:t>polychoric</w:t>
      </w:r>
      <w:proofErr w:type="spellEnd"/>
      <w:r w:rsidRPr="00BB72C0">
        <w:rPr>
          <w:rFonts w:asciiTheme="majorHAnsi" w:eastAsia="Calibri" w:hAnsiTheme="majorHAnsi" w:cstheme="majorHAnsi"/>
          <w:b/>
          <w:bCs/>
          <w:color w:val="1F1F1F"/>
          <w:sz w:val="20"/>
          <w:szCs w:val="20"/>
          <w:lang w:val="en-US"/>
        </w:rPr>
        <w:t xml:space="preserve"> matrices for the original model and examine whether it shows adequate fit?</w:t>
      </w:r>
    </w:p>
    <w:p w14:paraId="1F2E68D5"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added an explicit justification for the use of MLR in the </w:t>
      </w:r>
      <w:r w:rsidRPr="00BB72C0">
        <w:rPr>
          <w:rFonts w:asciiTheme="majorHAnsi" w:eastAsia="Calibri" w:hAnsiTheme="majorHAnsi" w:cstheme="majorHAnsi"/>
          <w:i/>
          <w:iCs/>
          <w:color w:val="1F1F1F"/>
          <w:sz w:val="20"/>
          <w:szCs w:val="20"/>
          <w:lang w:val="en-US"/>
        </w:rPr>
        <w:t>Data Analysis</w:t>
      </w:r>
      <w:r w:rsidRPr="00BB72C0">
        <w:rPr>
          <w:rFonts w:asciiTheme="majorHAnsi" w:eastAsia="Calibri" w:hAnsiTheme="majorHAnsi" w:cstheme="majorHAnsi"/>
          <w:color w:val="1F1F1F"/>
          <w:sz w:val="20"/>
          <w:szCs w:val="20"/>
          <w:lang w:val="en-US"/>
        </w:rPr>
        <w:t xml:space="preserve"> section.</w:t>
      </w:r>
    </w:p>
    <w:p w14:paraId="1F2E68D6"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 xml:space="preserve">Our decision was guided by the simulation study by </w:t>
      </w:r>
      <w:proofErr w:type="spellStart"/>
      <w:r w:rsidRPr="00BB72C0">
        <w:rPr>
          <w:rFonts w:asciiTheme="majorHAnsi" w:eastAsia="Calibri" w:hAnsiTheme="majorHAnsi" w:cstheme="majorHAnsi"/>
          <w:color w:val="1F1F1F"/>
          <w:sz w:val="20"/>
          <w:szCs w:val="20"/>
          <w:lang w:val="en-US"/>
        </w:rPr>
        <w:t>Rhemtulla</w:t>
      </w:r>
      <w:proofErr w:type="spellEnd"/>
      <w:r w:rsidRPr="00BB72C0">
        <w:rPr>
          <w:rFonts w:asciiTheme="majorHAnsi" w:eastAsia="Calibri" w:hAnsiTheme="majorHAnsi" w:cstheme="majorHAnsi"/>
          <w:color w:val="1F1F1F"/>
          <w:sz w:val="20"/>
          <w:szCs w:val="20"/>
          <w:lang w:val="en-US"/>
        </w:rPr>
        <w:t xml:space="preserve"> et al. (2012), which demonstrates that when the number of response categories is greater than five, robust Maximum Likelihood estimation (MLR) yields model fit and parameter </w:t>
      </w:r>
      <w:proofErr w:type="gramStart"/>
      <w:r w:rsidRPr="00BB72C0">
        <w:rPr>
          <w:rFonts w:asciiTheme="majorHAnsi" w:eastAsia="Calibri" w:hAnsiTheme="majorHAnsi" w:cstheme="majorHAnsi"/>
          <w:color w:val="1F1F1F"/>
          <w:sz w:val="20"/>
          <w:szCs w:val="20"/>
          <w:lang w:val="en-US"/>
        </w:rPr>
        <w:t>estimates</w:t>
      </w:r>
      <w:proofErr w:type="gramEnd"/>
      <w:r w:rsidRPr="00BB72C0">
        <w:rPr>
          <w:rFonts w:asciiTheme="majorHAnsi" w:eastAsia="Calibri" w:hAnsiTheme="majorHAnsi" w:cstheme="majorHAnsi"/>
          <w:color w:val="1F1F1F"/>
          <w:sz w:val="20"/>
          <w:szCs w:val="20"/>
          <w:lang w:val="en-US"/>
        </w:rPr>
        <w:t xml:space="preserve"> comparable to categorical estimators (e.g., WLSMV). Given that the WAAQ uses a 7-point scale, we considered MLR appropriate.</w:t>
      </w:r>
    </w:p>
    <w:p w14:paraId="1F2E68D7"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color w:val="1F1F1F"/>
          <w:sz w:val="20"/>
          <w:szCs w:val="20"/>
          <w:lang w:val="en-US"/>
        </w:rPr>
        <w:t xml:space="preserve">Additionally, we opted for MLR to ensure estimation stability. With a sample size of N=182 and 7 response options, using a categorical estimator relies on </w:t>
      </w:r>
      <w:proofErr w:type="spellStart"/>
      <w:r w:rsidRPr="00BB72C0">
        <w:rPr>
          <w:rFonts w:asciiTheme="majorHAnsi" w:eastAsia="Calibri" w:hAnsiTheme="majorHAnsi" w:cstheme="majorHAnsi"/>
          <w:color w:val="1F1F1F"/>
          <w:sz w:val="20"/>
          <w:szCs w:val="20"/>
          <w:lang w:val="en-US"/>
        </w:rPr>
        <w:t>polychoric</w:t>
      </w:r>
      <w:proofErr w:type="spellEnd"/>
      <w:r w:rsidRPr="00BB72C0">
        <w:rPr>
          <w:rFonts w:asciiTheme="majorHAnsi" w:eastAsia="Calibri" w:hAnsiTheme="majorHAnsi" w:cstheme="majorHAnsi"/>
          <w:color w:val="1F1F1F"/>
          <w:sz w:val="20"/>
          <w:szCs w:val="20"/>
          <w:lang w:val="en-US"/>
        </w:rPr>
        <w:t xml:space="preserve"> correlation matrices, which are prone to instability if there are empty cells in the bivariate contingency tables. Regarding AIC and BIC, since the primary objective was to confirm the </w:t>
      </w:r>
      <w:r w:rsidRPr="00BB72C0">
        <w:rPr>
          <w:rFonts w:asciiTheme="majorHAnsi" w:eastAsia="Calibri" w:hAnsiTheme="majorHAnsi" w:cstheme="majorHAnsi"/>
          <w:i/>
          <w:iCs/>
          <w:color w:val="1F1F1F"/>
          <w:sz w:val="20"/>
          <w:szCs w:val="20"/>
          <w:lang w:val="en-US"/>
        </w:rPr>
        <w:t>a priori</w:t>
      </w:r>
      <w:r w:rsidRPr="00BB72C0">
        <w:rPr>
          <w:rFonts w:asciiTheme="majorHAnsi" w:eastAsia="Calibri" w:hAnsiTheme="majorHAnsi" w:cstheme="majorHAnsi"/>
          <w:color w:val="1F1F1F"/>
          <w:sz w:val="20"/>
          <w:szCs w:val="20"/>
          <w:lang w:val="en-US"/>
        </w:rPr>
        <w:t xml:space="preserve"> structure of the WAAQ rather than compare competing non-nested models, we prioritized absolute and incremental fit indices (CFI, RMSEA, SRMR).</w:t>
      </w:r>
    </w:p>
    <w:p w14:paraId="6FC975F3"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D8"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11. It is not clear why an analysis based on observed scores (Spearman correlations) is used instead of an analysis based on latent scores (SEM), given that the manuscript focuses on latent variable models throughout.</w:t>
      </w:r>
    </w:p>
    <w:p w14:paraId="1F2E68D9"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lastRenderedPageBreak/>
        <w:t>Response:</w:t>
      </w:r>
      <w:r w:rsidRPr="00BB72C0">
        <w:rPr>
          <w:rFonts w:asciiTheme="majorHAnsi" w:eastAsia="Calibri" w:hAnsiTheme="majorHAnsi" w:cstheme="majorHAnsi"/>
          <w:color w:val="1F1F1F"/>
          <w:sz w:val="20"/>
          <w:szCs w:val="20"/>
          <w:lang w:val="en-US"/>
        </w:rPr>
        <w:t xml:space="preserve"> We employed Spearman's rho correlations because the WAAQ is designed to be scored by end-users (clinicians and organizations) as a simple summation of items. Therefore, providing validity evidence based on </w:t>
      </w:r>
      <w:r w:rsidRPr="00BB72C0">
        <w:rPr>
          <w:rFonts w:asciiTheme="majorHAnsi" w:eastAsia="Calibri" w:hAnsiTheme="majorHAnsi" w:cstheme="majorHAnsi"/>
          <w:b/>
          <w:bCs/>
          <w:color w:val="1F1F1F"/>
          <w:sz w:val="20"/>
          <w:szCs w:val="20"/>
          <w:lang w:val="en-US"/>
        </w:rPr>
        <w:t>observed scores</w:t>
      </w:r>
      <w:r w:rsidRPr="00BB72C0">
        <w:rPr>
          <w:rFonts w:asciiTheme="majorHAnsi" w:eastAsia="Calibri" w:hAnsiTheme="majorHAnsi" w:cstheme="majorHAnsi"/>
          <w:color w:val="1F1F1F"/>
          <w:sz w:val="20"/>
          <w:szCs w:val="20"/>
          <w:lang w:val="en-US"/>
        </w:rPr>
        <w:t xml:space="preserve"> ensures that the results are ecologically valid and directly applicable to how the instrument is used in practice.</w:t>
      </w:r>
    </w:p>
    <w:p w14:paraId="1B34B843"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DA"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12. I suggest adding a multigroup invariance analysis. This could help to determine whether the model with correlated errors is stable across different groups.</w:t>
      </w:r>
    </w:p>
    <w:p w14:paraId="1F2E68DB"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agree that invariance testing would be valuable. However, as noted in the </w:t>
      </w:r>
      <w:r w:rsidRPr="00BB72C0">
        <w:rPr>
          <w:rFonts w:asciiTheme="majorHAnsi" w:eastAsia="Calibri" w:hAnsiTheme="majorHAnsi" w:cstheme="majorHAnsi"/>
          <w:i/>
          <w:iCs/>
          <w:color w:val="1F1F1F"/>
          <w:sz w:val="20"/>
          <w:szCs w:val="20"/>
          <w:lang w:val="en-US"/>
        </w:rPr>
        <w:t>Limitations</w:t>
      </w:r>
      <w:r w:rsidRPr="00BB72C0">
        <w:rPr>
          <w:rFonts w:asciiTheme="majorHAnsi" w:eastAsia="Calibri" w:hAnsiTheme="majorHAnsi" w:cstheme="majorHAnsi"/>
          <w:color w:val="1F1F1F"/>
          <w:sz w:val="20"/>
          <w:szCs w:val="20"/>
          <w:lang w:val="en-US"/>
        </w:rPr>
        <w:t xml:space="preserve"> section, our sample size (N=182) falls short of the minimum requirements for reliable multigroup invariance analysis (Putnik &amp; Bornstein, 2016). We have suggested this as a necessary direction for future research.</w:t>
      </w:r>
    </w:p>
    <w:p w14:paraId="674B2FF6"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DC"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DISCUSSION</w:t>
      </w:r>
    </w:p>
    <w:p w14:paraId="1F2E68DD"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13. The Discussion states that “psychological flexibility was moderately correlated with depression and anxiety,” whereas the Abstract refers to “psychological inflexibility… correlation…”. Harmonization is required, ensuring that the direction and interpretation correspond to the WAAQ scoring as calculated and reported.</w:t>
      </w:r>
    </w:p>
    <w:p w14:paraId="1F2E68DE"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harmonized the text. The manuscript now consistently refers to </w:t>
      </w:r>
      <w:r w:rsidRPr="00BB72C0">
        <w:rPr>
          <w:rFonts w:asciiTheme="majorHAnsi" w:eastAsia="Calibri" w:hAnsiTheme="majorHAnsi" w:cstheme="majorHAnsi"/>
          <w:b/>
          <w:bCs/>
          <w:color w:val="1F1F1F"/>
          <w:sz w:val="20"/>
          <w:szCs w:val="20"/>
          <w:lang w:val="en-US"/>
        </w:rPr>
        <w:t>psychological flexibility</w:t>
      </w:r>
      <w:r w:rsidRPr="00BB72C0">
        <w:rPr>
          <w:rFonts w:asciiTheme="majorHAnsi" w:eastAsia="Calibri" w:hAnsiTheme="majorHAnsi" w:cstheme="majorHAnsi"/>
          <w:color w:val="1F1F1F"/>
          <w:sz w:val="20"/>
          <w:szCs w:val="20"/>
          <w:lang w:val="en-US"/>
        </w:rPr>
        <w:t xml:space="preserve"> (higher WAAQ scores) and correctly reports negative correlations with depression and anxiety.</w:t>
      </w:r>
    </w:p>
    <w:p w14:paraId="0B92F336" w14:textId="77777777" w:rsidR="00BB72C0" w:rsidRPr="00BB72C0" w:rsidRDefault="00BB72C0" w:rsidP="00BD32F6">
      <w:pPr>
        <w:widowControl w:val="0"/>
        <w:spacing w:line="240" w:lineRule="auto"/>
        <w:jc w:val="both"/>
        <w:rPr>
          <w:rFonts w:asciiTheme="majorHAnsi" w:eastAsia="Calibri" w:hAnsiTheme="majorHAnsi" w:cstheme="majorHAnsi"/>
          <w:color w:val="1F1F1F"/>
          <w:sz w:val="20"/>
          <w:szCs w:val="20"/>
          <w:lang w:val="en-US"/>
        </w:rPr>
      </w:pPr>
    </w:p>
    <w:p w14:paraId="1F2E68DF" w14:textId="77777777" w:rsidR="00733D60" w:rsidRPr="00BB72C0" w:rsidRDefault="00000000" w:rsidP="00BD32F6">
      <w:pPr>
        <w:widowControl w:val="0"/>
        <w:spacing w:line="240" w:lineRule="auto"/>
        <w:jc w:val="both"/>
        <w:rPr>
          <w:rFonts w:asciiTheme="majorHAnsi" w:eastAsia="Calibri" w:hAnsiTheme="majorHAnsi" w:cstheme="majorHAnsi"/>
          <w:b/>
          <w:bCs/>
          <w:color w:val="1F1F1F"/>
          <w:sz w:val="20"/>
          <w:szCs w:val="20"/>
          <w:lang w:val="en-US"/>
        </w:rPr>
      </w:pPr>
      <w:r w:rsidRPr="00BB72C0">
        <w:rPr>
          <w:rFonts w:asciiTheme="majorHAnsi" w:eastAsia="Calibri" w:hAnsiTheme="majorHAnsi" w:cstheme="majorHAnsi"/>
          <w:b/>
          <w:bCs/>
          <w:color w:val="1F1F1F"/>
          <w:sz w:val="20"/>
          <w:szCs w:val="20"/>
          <w:lang w:val="en-US"/>
        </w:rPr>
        <w:t xml:space="preserve">14. In addition to sample-related limitations, it would be important to discuss the absence of factorial invariance (by sex or profession), the impact of CFA </w:t>
      </w:r>
      <w:proofErr w:type="spellStart"/>
      <w:r w:rsidRPr="00BB72C0">
        <w:rPr>
          <w:rFonts w:asciiTheme="majorHAnsi" w:eastAsia="Calibri" w:hAnsiTheme="majorHAnsi" w:cstheme="majorHAnsi"/>
          <w:b/>
          <w:bCs/>
          <w:color w:val="1F1F1F"/>
          <w:sz w:val="20"/>
          <w:szCs w:val="20"/>
          <w:lang w:val="en-US"/>
        </w:rPr>
        <w:t>respecification</w:t>
      </w:r>
      <w:proofErr w:type="spellEnd"/>
      <w:r w:rsidRPr="00BB72C0">
        <w:rPr>
          <w:rFonts w:asciiTheme="majorHAnsi" w:eastAsia="Calibri" w:hAnsiTheme="majorHAnsi" w:cstheme="majorHAnsi"/>
          <w:b/>
          <w:bCs/>
          <w:color w:val="1F1F1F"/>
          <w:sz w:val="20"/>
          <w:szCs w:val="20"/>
          <w:lang w:val="en-US"/>
        </w:rPr>
        <w:t xml:space="preserve"> (correlated errors) on generalizability, and potential selection biases.</w:t>
      </w:r>
    </w:p>
    <w:p w14:paraId="1F2E68E0" w14:textId="77777777" w:rsidR="00733D60" w:rsidRPr="00BB72C0" w:rsidRDefault="00000000" w:rsidP="00BD32F6">
      <w:pPr>
        <w:widowControl w:val="0"/>
        <w:spacing w:line="240" w:lineRule="auto"/>
        <w:jc w:val="both"/>
        <w:rPr>
          <w:rFonts w:asciiTheme="majorHAnsi" w:eastAsia="Calibri" w:hAnsiTheme="majorHAnsi" w:cstheme="majorHAnsi"/>
          <w:color w:val="1F1F1F"/>
          <w:sz w:val="20"/>
          <w:szCs w:val="20"/>
          <w:lang w:val="en-US"/>
        </w:rPr>
      </w:pPr>
      <w:r w:rsidRPr="00BB72C0">
        <w:rPr>
          <w:rFonts w:asciiTheme="majorHAnsi" w:eastAsia="Calibri" w:hAnsiTheme="majorHAnsi" w:cstheme="majorHAnsi"/>
          <w:b/>
          <w:bCs/>
          <w:color w:val="1F1F1F"/>
          <w:sz w:val="20"/>
          <w:szCs w:val="20"/>
          <w:lang w:val="en-US"/>
        </w:rPr>
        <w:t>Response:</w:t>
      </w:r>
      <w:r w:rsidRPr="00BB72C0">
        <w:rPr>
          <w:rFonts w:asciiTheme="majorHAnsi" w:eastAsia="Calibri" w:hAnsiTheme="majorHAnsi" w:cstheme="majorHAnsi"/>
          <w:color w:val="1F1F1F"/>
          <w:sz w:val="20"/>
          <w:szCs w:val="20"/>
          <w:lang w:val="en-US"/>
        </w:rPr>
        <w:t xml:space="preserve"> We have updated the </w:t>
      </w:r>
      <w:r w:rsidRPr="00BB72C0">
        <w:rPr>
          <w:rFonts w:asciiTheme="majorHAnsi" w:eastAsia="Calibri" w:hAnsiTheme="majorHAnsi" w:cstheme="majorHAnsi"/>
          <w:i/>
          <w:iCs/>
          <w:color w:val="1F1F1F"/>
          <w:sz w:val="20"/>
          <w:szCs w:val="20"/>
          <w:lang w:val="en-US"/>
        </w:rPr>
        <w:t>Limitations</w:t>
      </w:r>
      <w:r w:rsidRPr="00BB72C0">
        <w:rPr>
          <w:rFonts w:asciiTheme="majorHAnsi" w:eastAsia="Calibri" w:hAnsiTheme="majorHAnsi" w:cstheme="majorHAnsi"/>
          <w:color w:val="1F1F1F"/>
          <w:sz w:val="20"/>
          <w:szCs w:val="20"/>
          <w:lang w:val="en-US"/>
        </w:rPr>
        <w:t xml:space="preserve"> section to address these points. Specifically, we added:</w:t>
      </w:r>
    </w:p>
    <w:p w14:paraId="1F2E68E2" w14:textId="22F2F886" w:rsidR="00733D60" w:rsidRPr="00BB72C0" w:rsidRDefault="00000000" w:rsidP="00BB72C0">
      <w:pPr>
        <w:widowControl w:val="0"/>
        <w:spacing w:line="240" w:lineRule="auto"/>
        <w:jc w:val="both"/>
        <w:rPr>
          <w:rFonts w:asciiTheme="majorHAnsi" w:eastAsia="Calibri" w:hAnsiTheme="majorHAnsi" w:cstheme="majorHAnsi"/>
          <w:sz w:val="20"/>
          <w:szCs w:val="20"/>
          <w:lang w:val="en-US"/>
        </w:rPr>
      </w:pPr>
      <w:r w:rsidRPr="00BB72C0">
        <w:rPr>
          <w:rFonts w:asciiTheme="majorHAnsi" w:eastAsia="Calibri" w:hAnsiTheme="majorHAnsi" w:cstheme="majorHAnsi"/>
          <w:i/>
          <w:iCs/>
          <w:color w:val="1F1F1F"/>
          <w:sz w:val="20"/>
          <w:szCs w:val="20"/>
          <w:lang w:val="en-US"/>
        </w:rPr>
        <w:t>"Third, although a correlated error between WAAQ Items 1 and 3 was theoretically justified, this post-hoc modification risks overfitting (Domínguez-Lara, 2019); future studies should cross-validate in independent Peruvian samples. Finally, although invariance testing would be valuable to evaluate the stability of the factor structure, particularly the correlated error model, the sample size falls short of minimum requirements for reliable invariance analysis (Putnik &amp; Bornstein, 2016)."</w:t>
      </w:r>
    </w:p>
    <w:sectPr w:rsidR="00733D60" w:rsidRPr="00BB72C0">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418F" w14:textId="77777777" w:rsidR="00E07B55" w:rsidRDefault="00E07B55" w:rsidP="003D5B82">
      <w:pPr>
        <w:spacing w:line="240" w:lineRule="auto"/>
      </w:pPr>
      <w:r>
        <w:separator/>
      </w:r>
    </w:p>
  </w:endnote>
  <w:endnote w:type="continuationSeparator" w:id="0">
    <w:p w14:paraId="3548DA72" w14:textId="77777777" w:rsidR="00E07B55" w:rsidRDefault="00E07B55" w:rsidP="003D5B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EA9781B-648E-4E62-9BE8-1BE56D31B0CB}"/>
    <w:embedBold r:id="rId2" w:fontKey="{045A2BA3-125D-44B0-BB77-CB4C5666C21A}"/>
    <w:embedItalic r:id="rId3" w:fontKey="{5E192C77-8491-4EF7-8611-A91A12F4A315}"/>
  </w:font>
  <w:font w:name="Cambria">
    <w:panose1 w:val="02040503050406030204"/>
    <w:charset w:val="00"/>
    <w:family w:val="roman"/>
    <w:pitch w:val="variable"/>
    <w:sig w:usb0="E00006FF" w:usb1="420024FF" w:usb2="02000000" w:usb3="00000000" w:csb0="0000019F" w:csb1="00000000"/>
    <w:embedRegular r:id="rId4" w:fontKey="{86CD86C8-3F03-4929-BBB2-34EDF6AAEA6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E64B1" w14:textId="77777777" w:rsidR="00E07B55" w:rsidRDefault="00E07B55" w:rsidP="003D5B82">
      <w:pPr>
        <w:spacing w:line="240" w:lineRule="auto"/>
      </w:pPr>
      <w:r>
        <w:separator/>
      </w:r>
    </w:p>
  </w:footnote>
  <w:footnote w:type="continuationSeparator" w:id="0">
    <w:p w14:paraId="743BAE68" w14:textId="77777777" w:rsidR="00E07B55" w:rsidRDefault="00E07B55" w:rsidP="003D5B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845A6" w14:textId="77777777" w:rsidR="003D5B82" w:rsidRDefault="003D5B82" w:rsidP="003D5B82">
    <w:pPr>
      <w:spacing w:line="240" w:lineRule="auto"/>
      <w:rPr>
        <w:rFonts w:ascii="Calibri" w:hAnsi="Calibri" w:cs="Calibri"/>
        <w:sz w:val="16"/>
        <w:szCs w:val="16"/>
        <w:lang w:val="en-US"/>
      </w:rPr>
    </w:pPr>
    <w:bookmarkStart w:id="0" w:name="_Hlk197116338"/>
    <w:r w:rsidRPr="004408E1">
      <w:rPr>
        <w:rFonts w:ascii="Calibri" w:hAnsi="Calibri" w:cs="Calibri"/>
        <w:color w:val="000000"/>
        <w:sz w:val="16"/>
        <w:szCs w:val="16"/>
        <w:lang w:val="es-MX"/>
      </w:rPr>
      <w:t>Blancas-Guillen, J., Ccoyllo-</w:t>
    </w:r>
    <w:proofErr w:type="spellStart"/>
    <w:r w:rsidRPr="004408E1">
      <w:rPr>
        <w:rFonts w:ascii="Calibri" w:hAnsi="Calibri" w:cs="Calibri"/>
        <w:color w:val="000000"/>
        <w:sz w:val="16"/>
        <w:szCs w:val="16"/>
        <w:lang w:val="es-MX"/>
      </w:rPr>
      <w:t>Gonzalez</w:t>
    </w:r>
    <w:proofErr w:type="spellEnd"/>
    <w:r w:rsidRPr="004408E1">
      <w:rPr>
        <w:rFonts w:ascii="Calibri" w:hAnsi="Calibri" w:cs="Calibri"/>
        <w:color w:val="000000"/>
        <w:sz w:val="16"/>
        <w:szCs w:val="16"/>
        <w:lang w:val="es-MX"/>
      </w:rPr>
      <w:t>, L., Salazar-</w:t>
    </w:r>
    <w:proofErr w:type="spellStart"/>
    <w:r w:rsidRPr="004408E1">
      <w:rPr>
        <w:rFonts w:ascii="Calibri" w:hAnsi="Calibri" w:cs="Calibri"/>
        <w:color w:val="000000"/>
        <w:sz w:val="16"/>
        <w:szCs w:val="16"/>
        <w:lang w:val="es-MX"/>
      </w:rPr>
      <w:t>Alvarez</w:t>
    </w:r>
    <w:proofErr w:type="spellEnd"/>
    <w:r w:rsidRPr="004408E1">
      <w:rPr>
        <w:rFonts w:ascii="Calibri" w:hAnsi="Calibri" w:cs="Calibri"/>
        <w:color w:val="000000"/>
        <w:sz w:val="16"/>
        <w:szCs w:val="16"/>
        <w:lang w:val="es-MX"/>
      </w:rPr>
      <w:t xml:space="preserve">, G., Méndez-Flores, F. A., &amp; Valencia, P. D. (2026). </w:t>
    </w:r>
    <w:r w:rsidRPr="00696338">
      <w:rPr>
        <w:rFonts w:ascii="Calibri" w:hAnsi="Calibri" w:cs="Calibri"/>
        <w:color w:val="000000"/>
        <w:sz w:val="16"/>
        <w:szCs w:val="16"/>
        <w:lang w:val="en-US"/>
      </w:rPr>
      <w:t>Factor structure of the Work-Related Acceptance and Action Questionnaire in health personnel</w:t>
    </w:r>
    <w:r w:rsidRPr="000D7F92">
      <w:rPr>
        <w:rFonts w:ascii="Calibri" w:hAnsi="Calibri" w:cs="Calibri"/>
        <w:color w:val="000000"/>
        <w:sz w:val="16"/>
        <w:szCs w:val="16"/>
        <w:lang w:val="en-US"/>
      </w:rPr>
      <w:t xml:space="preserve">. </w:t>
    </w:r>
    <w:r w:rsidRPr="000D7F92">
      <w:rPr>
        <w:rStyle w:val="spelle"/>
        <w:rFonts w:ascii="Calibri" w:hAnsi="Calibri" w:cs="Calibri"/>
        <w:i/>
        <w:iCs/>
        <w:color w:val="000000"/>
        <w:sz w:val="16"/>
        <w:szCs w:val="16"/>
        <w:lang w:val="en-US"/>
      </w:rPr>
      <w:t>Interacciones</w:t>
    </w:r>
    <w:r w:rsidRPr="000D7F92">
      <w:rPr>
        <w:rFonts w:ascii="Calibri" w:hAnsi="Calibri" w:cs="Calibri"/>
        <w:i/>
        <w:iCs/>
        <w:color w:val="000000"/>
        <w:sz w:val="16"/>
        <w:szCs w:val="16"/>
        <w:lang w:val="en-US"/>
      </w:rPr>
      <w:t>, 12</w:t>
    </w:r>
    <w:r w:rsidRPr="000D7F92">
      <w:rPr>
        <w:rFonts w:ascii="Calibri" w:hAnsi="Calibri" w:cs="Calibri"/>
        <w:color w:val="000000"/>
        <w:sz w:val="16"/>
        <w:szCs w:val="16"/>
        <w:lang w:val="en-US"/>
      </w:rPr>
      <w:t>, e4</w:t>
    </w:r>
    <w:r>
      <w:rPr>
        <w:rFonts w:ascii="Calibri" w:hAnsi="Calibri" w:cs="Calibri"/>
        <w:color w:val="000000"/>
        <w:sz w:val="16"/>
        <w:szCs w:val="16"/>
        <w:lang w:val="en-US"/>
      </w:rPr>
      <w:t>8</w:t>
    </w:r>
    <w:r w:rsidRPr="000D7F92">
      <w:rPr>
        <w:rFonts w:ascii="Calibri" w:hAnsi="Calibri" w:cs="Calibri"/>
        <w:color w:val="000000"/>
        <w:sz w:val="16"/>
        <w:szCs w:val="16"/>
        <w:lang w:val="en-US"/>
      </w:rPr>
      <w:t xml:space="preserve">7. </w:t>
    </w:r>
    <w:hyperlink r:id="rId1" w:history="1">
      <w:r w:rsidRPr="00393072">
        <w:rPr>
          <w:rStyle w:val="Hyperlink"/>
          <w:rFonts w:ascii="Calibri" w:hAnsi="Calibri" w:cs="Calibri"/>
          <w:sz w:val="16"/>
          <w:szCs w:val="16"/>
          <w:lang w:val="en-US"/>
        </w:rPr>
        <w:t>https://doi.org/10.24016/2026.v12.487</w:t>
      </w:r>
    </w:hyperlink>
  </w:p>
  <w:bookmarkEnd w:id="0"/>
  <w:p w14:paraId="583E5FED" w14:textId="77777777" w:rsidR="003D5B82" w:rsidRDefault="003D5B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D60"/>
    <w:rsid w:val="003D5B82"/>
    <w:rsid w:val="00733D60"/>
    <w:rsid w:val="008323B7"/>
    <w:rsid w:val="00BB72C0"/>
    <w:rsid w:val="00BD32F6"/>
    <w:rsid w:val="00E07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E68B6"/>
  <w15:docId w15:val="{F9B8D132-20C6-44CF-985D-19AEA6C6D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qFormat/>
    <w:rsid w:val="00BD32F6"/>
    <w:rPr>
      <w:color w:val="0000FF" w:themeColor="hyperlink"/>
      <w:u w:val="single"/>
    </w:rPr>
  </w:style>
  <w:style w:type="character" w:styleId="UnresolvedMention">
    <w:name w:val="Unresolved Mention"/>
    <w:basedOn w:val="DefaultParagraphFont"/>
    <w:uiPriority w:val="99"/>
    <w:semiHidden/>
    <w:unhideWhenUsed/>
    <w:rsid w:val="00BD32F6"/>
    <w:rPr>
      <w:color w:val="605E5C"/>
      <w:shd w:val="clear" w:color="auto" w:fill="E1DFDD"/>
    </w:rPr>
  </w:style>
  <w:style w:type="paragraph" w:styleId="Header">
    <w:name w:val="header"/>
    <w:basedOn w:val="Normal"/>
    <w:link w:val="HeaderChar"/>
    <w:uiPriority w:val="99"/>
    <w:unhideWhenUsed/>
    <w:rsid w:val="003D5B82"/>
    <w:pPr>
      <w:tabs>
        <w:tab w:val="center" w:pos="4419"/>
        <w:tab w:val="right" w:pos="8838"/>
      </w:tabs>
      <w:spacing w:line="240" w:lineRule="auto"/>
    </w:pPr>
  </w:style>
  <w:style w:type="character" w:customStyle="1" w:styleId="HeaderChar">
    <w:name w:val="Header Char"/>
    <w:basedOn w:val="DefaultParagraphFont"/>
    <w:link w:val="Header"/>
    <w:uiPriority w:val="99"/>
    <w:rsid w:val="003D5B82"/>
  </w:style>
  <w:style w:type="paragraph" w:styleId="Footer">
    <w:name w:val="footer"/>
    <w:basedOn w:val="Normal"/>
    <w:link w:val="FooterChar"/>
    <w:uiPriority w:val="99"/>
    <w:unhideWhenUsed/>
    <w:rsid w:val="003D5B82"/>
    <w:pPr>
      <w:tabs>
        <w:tab w:val="center" w:pos="4419"/>
        <w:tab w:val="right" w:pos="8838"/>
      </w:tabs>
      <w:spacing w:line="240" w:lineRule="auto"/>
    </w:pPr>
  </w:style>
  <w:style w:type="character" w:customStyle="1" w:styleId="FooterChar">
    <w:name w:val="Footer Char"/>
    <w:basedOn w:val="DefaultParagraphFont"/>
    <w:link w:val="Footer"/>
    <w:uiPriority w:val="99"/>
    <w:rsid w:val="003D5B82"/>
  </w:style>
  <w:style w:type="character" w:customStyle="1" w:styleId="spelle">
    <w:name w:val="spelle"/>
    <w:basedOn w:val="DefaultParagraphFont"/>
    <w:rsid w:val="003D5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https://doi.org/10.24016/2026.v12.4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2236</Words>
  <Characters>14112</Characters>
  <Application>Microsoft Office Word</Application>
  <DocSecurity>0</DocSecurity>
  <Lines>217</Lines>
  <Paragraphs>86</Paragraphs>
  <ScaleCrop>false</ScaleCrop>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Villarreal</cp:lastModifiedBy>
  <cp:revision>4</cp:revision>
  <dcterms:created xsi:type="dcterms:W3CDTF">2026-02-11T05:44:00Z</dcterms:created>
  <dcterms:modified xsi:type="dcterms:W3CDTF">2026-02-11T05:47:00Z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b96cb4f1-1ced-442b-bade-114858ed56d8</vt:lpwstr>
  </property>
</Properties>
</file>